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A1020" w14:textId="77777777" w:rsidR="006452DF" w:rsidRPr="006452DF" w:rsidRDefault="006452DF" w:rsidP="006452DF">
      <w:pPr>
        <w:keepNext/>
        <w:spacing w:before="240" w:after="240"/>
        <w:ind w:left="2626"/>
        <w:jc w:val="right"/>
        <w:outlineLvl w:val="0"/>
        <w:rPr>
          <w:rFonts w:asciiTheme="minorHAnsi" w:hAnsiTheme="minorHAnsi" w:cstheme="minorHAnsi"/>
        </w:rPr>
      </w:pPr>
      <w:bookmarkStart w:id="0" w:name="_Toc486252821"/>
      <w:bookmarkStart w:id="1" w:name="_Toc351466106"/>
      <w:r w:rsidRPr="006452DF">
        <w:rPr>
          <w:rFonts w:asciiTheme="minorHAnsi" w:hAnsiTheme="minorHAnsi" w:cstheme="minorHAnsi"/>
        </w:rPr>
        <w:t>Zał. nr 3</w:t>
      </w:r>
    </w:p>
    <w:p w14:paraId="36A9680E" w14:textId="77777777" w:rsidR="00B7696A" w:rsidRPr="006452DF" w:rsidRDefault="006452DF" w:rsidP="006452DF">
      <w:pPr>
        <w:keepNext/>
        <w:spacing w:before="240" w:after="240"/>
        <w:ind w:left="2626"/>
        <w:jc w:val="both"/>
        <w:outlineLvl w:val="0"/>
        <w:rPr>
          <w:rFonts w:asciiTheme="minorHAnsi" w:hAnsiTheme="minorHAnsi" w:cstheme="minorHAnsi"/>
          <w:b/>
          <w:bCs/>
        </w:rPr>
      </w:pPr>
      <w:r w:rsidRPr="006452DF">
        <w:rPr>
          <w:rFonts w:asciiTheme="minorHAnsi" w:hAnsiTheme="minorHAnsi" w:cstheme="minorHAnsi"/>
          <w:b/>
          <w:bCs/>
        </w:rPr>
        <w:t>Szczegółowy o</w:t>
      </w:r>
      <w:r w:rsidR="00B7696A" w:rsidRPr="006452DF">
        <w:rPr>
          <w:rFonts w:asciiTheme="minorHAnsi" w:hAnsiTheme="minorHAnsi" w:cstheme="minorHAnsi"/>
          <w:b/>
          <w:bCs/>
        </w:rPr>
        <w:t>pis przedmiotu zamówienia</w:t>
      </w:r>
      <w:bookmarkEnd w:id="0"/>
      <w:bookmarkEnd w:id="1"/>
    </w:p>
    <w:p w14:paraId="1C099F0E" w14:textId="77777777" w:rsidR="00F00DFF" w:rsidRDefault="00F00DFF" w:rsidP="00F00DF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/>
      </w:pPr>
      <w:r>
        <w:t xml:space="preserve">Przedmiot zamówienia będzie utrzymanie i eksploatacja stacji pomp 2 i 3 w tym: </w:t>
      </w:r>
    </w:p>
    <w:p w14:paraId="382797E1" w14:textId="77777777" w:rsidR="00F00DFF" w:rsidRDefault="00F00DFF" w:rsidP="00F00DFF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TTE261CB00t00"/>
          <w:sz w:val="22"/>
          <w:szCs w:val="22"/>
        </w:rPr>
        <w:t xml:space="preserve">- </w:t>
      </w:r>
      <w:r>
        <w:rPr>
          <w:rFonts w:asciiTheme="minorHAnsi" w:hAnsiTheme="minorHAnsi" w:cs="Arial"/>
          <w:sz w:val="22"/>
          <w:szCs w:val="22"/>
        </w:rPr>
        <w:t>budynku pompowni wraz z infrastruktur</w:t>
      </w:r>
      <w:r>
        <w:rPr>
          <w:rFonts w:asciiTheme="minorHAnsi" w:hAnsiTheme="minorHAnsi" w:cs="TTE1B00820t00"/>
          <w:sz w:val="22"/>
          <w:szCs w:val="22"/>
        </w:rPr>
        <w:t xml:space="preserve">ą </w:t>
      </w:r>
      <w:r>
        <w:rPr>
          <w:rFonts w:asciiTheme="minorHAnsi" w:hAnsiTheme="minorHAnsi" w:cs="Arial"/>
          <w:sz w:val="22"/>
          <w:szCs w:val="22"/>
        </w:rPr>
        <w:t>towarzyszącą,</w:t>
      </w:r>
    </w:p>
    <w:p w14:paraId="61FA6AA1" w14:textId="77777777" w:rsidR="00F00DFF" w:rsidRDefault="00F00DFF" w:rsidP="00F00DFF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TTE261CB00t00"/>
          <w:sz w:val="22"/>
          <w:szCs w:val="22"/>
        </w:rPr>
        <w:t xml:space="preserve">- </w:t>
      </w:r>
      <w:r>
        <w:rPr>
          <w:rFonts w:asciiTheme="minorHAnsi" w:hAnsiTheme="minorHAnsi" w:cs="Arial"/>
          <w:sz w:val="22"/>
          <w:szCs w:val="22"/>
        </w:rPr>
        <w:t>zbiornika wyrównawczego i uj</w:t>
      </w:r>
      <w:r>
        <w:rPr>
          <w:rFonts w:asciiTheme="minorHAnsi" w:hAnsiTheme="minorHAnsi" w:cs="TTE1B00820t00"/>
          <w:sz w:val="22"/>
          <w:szCs w:val="22"/>
        </w:rPr>
        <w:t>ę</w:t>
      </w:r>
      <w:r>
        <w:rPr>
          <w:rFonts w:asciiTheme="minorHAnsi" w:hAnsiTheme="minorHAnsi" w:cs="Arial"/>
          <w:sz w:val="22"/>
          <w:szCs w:val="22"/>
        </w:rPr>
        <w:t>cia wody,</w:t>
      </w:r>
    </w:p>
    <w:p w14:paraId="5ED97ECC" w14:textId="77777777" w:rsidR="00F00DFF" w:rsidRDefault="00F00DFF" w:rsidP="00F00DFF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TTE261CB00t00"/>
          <w:sz w:val="22"/>
          <w:szCs w:val="22"/>
        </w:rPr>
        <w:t xml:space="preserve">- </w:t>
      </w:r>
      <w:r>
        <w:rPr>
          <w:rFonts w:asciiTheme="minorHAnsi" w:hAnsiTheme="minorHAnsi" w:cs="Arial"/>
          <w:sz w:val="22"/>
          <w:szCs w:val="22"/>
        </w:rPr>
        <w:t>urządzeń</w:t>
      </w:r>
      <w:r>
        <w:rPr>
          <w:rFonts w:asciiTheme="minorHAnsi" w:hAnsiTheme="minorHAnsi" w:cs="TTE1B00820t00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pompowni,</w:t>
      </w:r>
    </w:p>
    <w:p w14:paraId="58E24FEB" w14:textId="77777777" w:rsidR="00F00DFF" w:rsidRDefault="00F00DFF" w:rsidP="00F00DFF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TTE261CB00t00"/>
          <w:sz w:val="22"/>
          <w:szCs w:val="22"/>
        </w:rPr>
        <w:t xml:space="preserve">- </w:t>
      </w:r>
      <w:r>
        <w:rPr>
          <w:rFonts w:asciiTheme="minorHAnsi" w:hAnsiTheme="minorHAnsi" w:cs="Arial"/>
          <w:sz w:val="22"/>
          <w:szCs w:val="22"/>
        </w:rPr>
        <w:t>rurociągów wewnątrz budynku,</w:t>
      </w:r>
    </w:p>
    <w:p w14:paraId="7D20D537" w14:textId="77777777" w:rsidR="00F00DFF" w:rsidRDefault="00F00DFF" w:rsidP="00F00DF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TTE261CB00t00"/>
          <w:sz w:val="22"/>
          <w:szCs w:val="22"/>
        </w:rPr>
        <w:t xml:space="preserve">- </w:t>
      </w:r>
      <w:r>
        <w:rPr>
          <w:rFonts w:asciiTheme="minorHAnsi" w:hAnsiTheme="minorHAnsi" w:cs="Arial"/>
          <w:sz w:val="22"/>
          <w:szCs w:val="22"/>
        </w:rPr>
        <w:t>infrastruktury związanej ze rzutem wody z systemu odwodnienia do rzeki Narwi.</w:t>
      </w:r>
    </w:p>
    <w:p w14:paraId="6FA09FEE" w14:textId="77777777" w:rsidR="00F00DFF" w:rsidRDefault="00F00DFF" w:rsidP="00F00DF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polegający w szczególności na:</w:t>
      </w:r>
    </w:p>
    <w:p w14:paraId="00245E88" w14:textId="77777777" w:rsidR="00F00DFF" w:rsidRDefault="00F00DFF" w:rsidP="00F00DFF">
      <w:pPr>
        <w:pStyle w:val="Akapitzlist"/>
        <w:numPr>
          <w:ilvl w:val="0"/>
          <w:numId w:val="3"/>
        </w:numPr>
        <w:spacing w:before="0" w:after="0"/>
        <w:rPr>
          <w:rFonts w:cs="Arial"/>
        </w:rPr>
      </w:pPr>
      <w:r>
        <w:rPr>
          <w:rFonts w:cs="Arial"/>
        </w:rPr>
        <w:t xml:space="preserve">utrzymaniu pompowni; </w:t>
      </w:r>
    </w:p>
    <w:p w14:paraId="0E4B3EA2" w14:textId="77777777" w:rsidR="00F00DFF" w:rsidRDefault="00F00DFF" w:rsidP="00F00DFF">
      <w:pPr>
        <w:pStyle w:val="Akapitzlist"/>
        <w:numPr>
          <w:ilvl w:val="0"/>
          <w:numId w:val="3"/>
        </w:numPr>
        <w:spacing w:before="0" w:after="0"/>
        <w:rPr>
          <w:rFonts w:cs="Arial"/>
        </w:rPr>
      </w:pPr>
      <w:r>
        <w:rPr>
          <w:rFonts w:cs="Arial"/>
        </w:rPr>
        <w:t>eksploatacji pompowni;</w:t>
      </w:r>
    </w:p>
    <w:p w14:paraId="77AE7B4E" w14:textId="6BD43919" w:rsidR="000C030D" w:rsidRPr="00A65535" w:rsidRDefault="000C030D" w:rsidP="00F00DFF">
      <w:pPr>
        <w:pStyle w:val="Akapitzlist"/>
        <w:numPr>
          <w:ilvl w:val="0"/>
          <w:numId w:val="3"/>
        </w:numPr>
        <w:spacing w:before="0" w:after="0"/>
        <w:rPr>
          <w:rFonts w:cs="Arial"/>
        </w:rPr>
      </w:pPr>
      <w:r>
        <w:rPr>
          <w:rFonts w:ascii="Calibri" w:hAnsi="Calibri" w:cs="Calibri"/>
        </w:rPr>
        <w:t xml:space="preserve">prowadzeniu odwodnienia obiektu Kupiski - Jednaczewo, w tym odprowadzenie odsiąków                 w okresie prowadzenia przez </w:t>
      </w:r>
      <w:r w:rsidRPr="00E21583">
        <w:rPr>
          <w:rFonts w:ascii="Calibri" w:hAnsi="Calibri" w:cs="Calibri"/>
        </w:rPr>
        <w:t>„PEPEES” S.</w:t>
      </w:r>
      <w:r>
        <w:rPr>
          <w:rFonts w:ascii="Calibri" w:hAnsi="Calibri" w:cs="Calibri"/>
        </w:rPr>
        <w:t>A</w:t>
      </w:r>
      <w:r w:rsidRPr="00E21583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nawodnienia obiektu ściekami produkcyjnymi                       w ścisłej współpracy ze spółką wodno – ściekową Kupiski </w:t>
      </w:r>
      <w:r w:rsidR="00A65535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Jednaczewo</w:t>
      </w:r>
    </w:p>
    <w:p w14:paraId="77D8E385" w14:textId="6F665D8F" w:rsidR="00A65535" w:rsidRDefault="00A65535" w:rsidP="00F00DFF">
      <w:pPr>
        <w:pStyle w:val="Akapitzlist"/>
        <w:numPr>
          <w:ilvl w:val="0"/>
          <w:numId w:val="3"/>
        </w:numPr>
        <w:spacing w:before="0" w:after="0"/>
        <w:rPr>
          <w:rFonts w:cs="Arial"/>
        </w:rPr>
      </w:pPr>
      <w:r>
        <w:rPr>
          <w:rFonts w:cs="Arial"/>
        </w:rPr>
        <w:t>w przypadku zgłoszenia awarii, przystąpienie maksymalnie w ciągu dwóch godzin do jej usunięcia;</w:t>
      </w:r>
    </w:p>
    <w:p w14:paraId="7BBD5F37" w14:textId="77777777" w:rsidR="00F00DFF" w:rsidRDefault="00F00DFF" w:rsidP="00F00DFF">
      <w:pPr>
        <w:pStyle w:val="Akapitzlist"/>
        <w:numPr>
          <w:ilvl w:val="0"/>
          <w:numId w:val="3"/>
        </w:numPr>
        <w:spacing w:before="0" w:after="0"/>
        <w:rPr>
          <w:rFonts w:cs="Arial"/>
        </w:rPr>
      </w:pPr>
      <w:r>
        <w:rPr>
          <w:rFonts w:cs="Arial"/>
        </w:rPr>
        <w:t>ochronie przed powodzią;</w:t>
      </w:r>
    </w:p>
    <w:p w14:paraId="2AFACB60" w14:textId="77777777" w:rsidR="00F00DFF" w:rsidRDefault="00F00DFF" w:rsidP="00F00DFF">
      <w:pPr>
        <w:pStyle w:val="Akapitzlist"/>
        <w:numPr>
          <w:ilvl w:val="0"/>
          <w:numId w:val="3"/>
        </w:numPr>
        <w:spacing w:before="0" w:after="0"/>
        <w:rPr>
          <w:rFonts w:cs="Arial"/>
        </w:rPr>
      </w:pPr>
      <w:r>
        <w:rPr>
          <w:rFonts w:cs="Arial"/>
        </w:rPr>
        <w:t>naprawach bieżących niezbędnych do prawidłowego działania pompowni, w tym również; pomieszczeń, w których się znajduje;</w:t>
      </w:r>
    </w:p>
    <w:p w14:paraId="7258E83B" w14:textId="77777777" w:rsidR="00F00DFF" w:rsidRDefault="00F00DFF" w:rsidP="00F00DFF">
      <w:pPr>
        <w:pStyle w:val="Akapitzlist"/>
        <w:numPr>
          <w:ilvl w:val="0"/>
          <w:numId w:val="3"/>
        </w:numPr>
        <w:spacing w:before="0" w:after="0"/>
        <w:rPr>
          <w:rFonts w:cs="Arial"/>
        </w:rPr>
      </w:pPr>
      <w:r>
        <w:rPr>
          <w:rFonts w:cs="Arial"/>
        </w:rPr>
        <w:t>konserwacji urządzeń pompowni;</w:t>
      </w:r>
    </w:p>
    <w:p w14:paraId="57D20EC7" w14:textId="7BE00970" w:rsidR="00F00DFF" w:rsidRDefault="00F00DFF" w:rsidP="00F00DFF">
      <w:pPr>
        <w:pStyle w:val="Akapitzlist"/>
        <w:numPr>
          <w:ilvl w:val="0"/>
          <w:numId w:val="3"/>
        </w:numPr>
        <w:spacing w:before="0" w:after="0"/>
        <w:rPr>
          <w:rFonts w:cs="Arial"/>
        </w:rPr>
      </w:pPr>
      <w:r>
        <w:rPr>
          <w:rFonts w:cs="Arial"/>
        </w:rPr>
        <w:t>ochronie przeciwpowodziowej wału</w:t>
      </w:r>
      <w:r w:rsidR="00C456F2">
        <w:rPr>
          <w:rFonts w:cs="Arial"/>
        </w:rPr>
        <w:t xml:space="preserve"> oraz obiektu Kupiski Jednaczewo</w:t>
      </w:r>
      <w:r>
        <w:rPr>
          <w:rFonts w:cs="Arial"/>
        </w:rPr>
        <w:t xml:space="preserve">; </w:t>
      </w:r>
    </w:p>
    <w:p w14:paraId="308DBF23" w14:textId="325FE032" w:rsidR="00F00DFF" w:rsidRDefault="00F00DFF" w:rsidP="00F00DF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cs="TTE1B00820t00"/>
        </w:rPr>
      </w:pPr>
      <w:r>
        <w:t>Utrzymanie i eksploatacja wykonywana będzie zgodnie z i</w:t>
      </w:r>
      <w:r>
        <w:rPr>
          <w:rFonts w:cs="Arial"/>
        </w:rPr>
        <w:t>nstrukcja eksploatacji zawierającą wytyczne i wskazówki dla obsługi w sprawie podejmowania czynności niezbędnych do utrzymania pompowni w stanie umożliwiającym jej bezpieczną eksploatację</w:t>
      </w:r>
      <w:r w:rsidR="007D2726">
        <w:rPr>
          <w:rFonts w:cs="Arial"/>
        </w:rPr>
        <w:t xml:space="preserve"> (dostępne w Nadzorze Wodnym Łomża).</w:t>
      </w:r>
    </w:p>
    <w:p w14:paraId="48EA6932" w14:textId="77777777" w:rsidR="00F00DFF" w:rsidRDefault="00F00DFF" w:rsidP="00F00DFF">
      <w:pPr>
        <w:pStyle w:val="Akapitzlist"/>
        <w:numPr>
          <w:ilvl w:val="0"/>
          <w:numId w:val="2"/>
        </w:numPr>
        <w:tabs>
          <w:tab w:val="left" w:pos="1021"/>
        </w:tabs>
        <w:autoSpaceDE w:val="0"/>
        <w:spacing w:before="0" w:after="0"/>
        <w:rPr>
          <w:rFonts w:cs="Bookman Old Style"/>
        </w:rPr>
      </w:pPr>
      <w:r>
        <w:rPr>
          <w:rFonts w:cs="Bookman Old Style"/>
        </w:rPr>
        <w:t>W przypadku ogłoszenia pogotowia lub alarmu przeciwpowodziowego przez Wojewódzkie Centrum Zarządzania Kryzysowego eksploatator musi być w stałej dyspozycji przez całą dobę i</w:t>
      </w:r>
      <w:r w:rsidR="006452DF">
        <w:rPr>
          <w:rFonts w:cs="Bookman Old Style"/>
        </w:rPr>
        <w:t> </w:t>
      </w:r>
      <w:r>
        <w:rPr>
          <w:rFonts w:cs="Bookman Old Style"/>
        </w:rPr>
        <w:t>wykonywać jego polecenia lub polecenia Zarząd Zlewni w Ostrołęce, aż do czasu odwołania pogotowia lub alarmu przeciwpowodziowego.</w:t>
      </w:r>
    </w:p>
    <w:p w14:paraId="63D287F1" w14:textId="77777777" w:rsidR="00F00DFF" w:rsidRDefault="00F00DFF" w:rsidP="00F00DFF">
      <w:pPr>
        <w:pStyle w:val="Akapitzlist"/>
        <w:numPr>
          <w:ilvl w:val="0"/>
          <w:numId w:val="2"/>
        </w:numPr>
        <w:suppressAutoHyphens/>
        <w:spacing w:before="0" w:after="0"/>
        <w:rPr>
          <w:rFonts w:cs="Arial"/>
          <w:b/>
          <w:lang w:eastAsia="pl-PL" w:bidi="ar-SA"/>
        </w:rPr>
      </w:pPr>
      <w:r>
        <w:t>Zamawiający wymaga, stosownie do art. 29 ust. 3a ustawy Pzp, zatrudnienia na podstawie umowy o pracę, w rozumieniu przepisów ustawy z dnia 26 czerwca 1974 r. – Kodeks pracy (Dz. U. z 2016 r. poz. 1666 ze zm.), przez Wykonawcę lub Podwykonawcę os</w:t>
      </w:r>
      <w:r>
        <w:rPr>
          <w:rFonts w:eastAsia="Arial" w:cs="Arial"/>
        </w:rPr>
        <w:t>oby bądź osób,  które będą bezpośrednio realizować przedmiot zamówienia, tj. sprawować stały dozór i obsługę poszczególnych pompowni</w:t>
      </w:r>
      <w:r w:rsidR="00EA4822">
        <w:rPr>
          <w:rFonts w:eastAsia="Arial" w:cs="Arial"/>
        </w:rPr>
        <w:t>,</w:t>
      </w:r>
      <w:r>
        <w:rPr>
          <w:lang w:bidi="ar-SA"/>
        </w:rPr>
        <w:t xml:space="preserve"> a okres ich zatrudnienia będzie nie krótszy niż okres realizacji zamówienia. </w:t>
      </w:r>
    </w:p>
    <w:p w14:paraId="1EB60E28" w14:textId="77777777" w:rsidR="00F00DFF" w:rsidRDefault="00F00DFF" w:rsidP="00F00DFF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 xml:space="preserve">W nawiązaniu do określonego wyżej wymogu zatrudnienia na umowę o pracę osób dla bezpośredniej realizacji zamówienia przez zatrudnienie na podstawie umowy o pracę należy rozumieć zatrudnienie na podstawie: umowy o pracę, powołania, wyboru, mianowania lub spółdzielczej umowy o pracę, w rozumieniu ustawy z dnia 26 czerwca 1974 r. Kodeks pracy (Dz. U. z 2014 r., poz. 1502 ze zm.) lub właściwych przepisów państwa członkowskiego Unii Europejskiej lub Europejskiego Obszaru Gospodarczego, w którym Wykonawca ma siedzibę lub miejsce zamieszkania. </w:t>
      </w:r>
    </w:p>
    <w:p w14:paraId="4949D3B2" w14:textId="77777777" w:rsidR="00F00DFF" w:rsidRDefault="00F00DFF" w:rsidP="00F00DFF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 xml:space="preserve">W przypadku rozwiązania stosunku pracy przed zakończeniem tego okresu, Wykonawca lub podwykonawca będzie obowiązany do zatrudnienia na to miejsce innej osoby. </w:t>
      </w:r>
    </w:p>
    <w:p w14:paraId="304B323A" w14:textId="77777777" w:rsidR="00F00DFF" w:rsidRDefault="00F00DFF" w:rsidP="00F00DFF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 W przypadku uzasadnionych wątpliwości co do przestrzegania prawa pracy, o którym mowa w art. 29 ust. 3a Pzp. przez Wykonawcę lub Podwykonawcę - Zamawiający może zwrócić się o</w:t>
      </w:r>
      <w:r w:rsidR="006452DF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przeprowadzenie kontroli przez Państwową Inspekcję Pracy.</w:t>
      </w:r>
    </w:p>
    <w:p w14:paraId="48384889" w14:textId="77777777" w:rsidR="00814F33" w:rsidRDefault="00814F33" w:rsidP="00F00DFF">
      <w:pPr>
        <w:jc w:val="both"/>
        <w:rPr>
          <w:rFonts w:asciiTheme="minorHAnsi" w:hAnsiTheme="minorHAnsi" w:cstheme="minorHAnsi"/>
        </w:rPr>
      </w:pPr>
    </w:p>
    <w:p w14:paraId="324393A6" w14:textId="77777777" w:rsidR="00F00DFF" w:rsidRDefault="00F00DFF" w:rsidP="00F00DFF">
      <w:pPr>
        <w:pStyle w:val="Akapitzlist1"/>
        <w:spacing w:after="0" w:line="276" w:lineRule="auto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Wspólny słownik zamówień CPV:</w:t>
      </w:r>
    </w:p>
    <w:p w14:paraId="65842603" w14:textId="77777777" w:rsidR="00F00DFF" w:rsidRDefault="00F00DFF" w:rsidP="00AA1C8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Główny przedmiot:  </w:t>
      </w:r>
      <w:r>
        <w:rPr>
          <w:rFonts w:asciiTheme="minorHAnsi" w:hAnsiTheme="minorHAnsi" w:cs="Helvetica"/>
          <w:color w:val="333333"/>
          <w:sz w:val="22"/>
          <w:szCs w:val="22"/>
        </w:rPr>
        <w:t>71.31.11.00-2 - Usługi dodatkowe w zakresie inżynierii lądowej i wodnej</w:t>
      </w:r>
    </w:p>
    <w:p w14:paraId="19B331B6" w14:textId="77777777" w:rsidR="00F00DFF" w:rsidRDefault="00F00DFF" w:rsidP="00AA1C81">
      <w:pPr>
        <w:rPr>
          <w:rFonts w:asciiTheme="minorHAnsi" w:hAnsiTheme="minorHAnsi"/>
          <w:bCs/>
          <w:color w:val="203949"/>
          <w:kern w:val="36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Dodatkowe przedmioty</w:t>
      </w:r>
      <w:r w:rsidR="00AA1C81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 w:cs="Arial"/>
          <w:color w:val="444444"/>
          <w:sz w:val="22"/>
          <w:szCs w:val="22"/>
          <w:shd w:val="clear" w:color="auto" w:fill="FFFFFF"/>
        </w:rPr>
        <w:t>50.51.10.00-</w:t>
      </w:r>
      <w:r w:rsidR="00AA1C81">
        <w:rPr>
          <w:rFonts w:asciiTheme="minorHAnsi" w:hAnsiTheme="minorHAnsi" w:cs="Arial"/>
          <w:color w:val="444444"/>
          <w:sz w:val="22"/>
          <w:szCs w:val="22"/>
          <w:shd w:val="clear" w:color="auto" w:fill="FFFFFF"/>
        </w:rPr>
        <w:t>1</w:t>
      </w:r>
      <w:r>
        <w:rPr>
          <w:rFonts w:asciiTheme="minorHAnsi" w:hAnsiTheme="minorHAnsi" w:cs="Arial"/>
          <w:color w:val="444444"/>
          <w:sz w:val="22"/>
          <w:szCs w:val="22"/>
          <w:shd w:val="clear" w:color="auto" w:fill="FFFFFF"/>
        </w:rPr>
        <w:t xml:space="preserve">-  </w:t>
      </w:r>
      <w:r w:rsidR="00AA1C81" w:rsidRPr="00AA1C81">
        <w:rPr>
          <w:rFonts w:asciiTheme="minorHAnsi" w:hAnsiTheme="minorHAnsi"/>
          <w:bCs/>
          <w:color w:val="203949"/>
          <w:kern w:val="36"/>
          <w:sz w:val="22"/>
          <w:szCs w:val="22"/>
        </w:rPr>
        <w:t>Usługi w zakresie napraw i konserwacji pomp cieczowych</w:t>
      </w:r>
    </w:p>
    <w:p w14:paraId="0A86C6D2" w14:textId="77777777" w:rsidR="00AA1C81" w:rsidRPr="00AA1C81" w:rsidRDefault="00AA1C81" w:rsidP="00F00DFF">
      <w:pPr>
        <w:ind w:left="142"/>
        <w:rPr>
          <w:rFonts w:asciiTheme="minorHAnsi" w:hAnsiTheme="minorHAnsi"/>
          <w:bCs/>
          <w:color w:val="203949"/>
          <w:kern w:val="36"/>
          <w:sz w:val="22"/>
          <w:szCs w:val="22"/>
        </w:rPr>
      </w:pPr>
      <w:r>
        <w:rPr>
          <w:rFonts w:asciiTheme="minorHAnsi" w:hAnsiTheme="minorHAnsi"/>
          <w:bCs/>
          <w:color w:val="203949"/>
          <w:kern w:val="36"/>
          <w:sz w:val="22"/>
          <w:szCs w:val="22"/>
        </w:rPr>
        <w:tab/>
      </w:r>
      <w:r>
        <w:rPr>
          <w:rFonts w:asciiTheme="minorHAnsi" w:hAnsiTheme="minorHAnsi"/>
          <w:bCs/>
          <w:color w:val="203949"/>
          <w:kern w:val="36"/>
          <w:sz w:val="22"/>
          <w:szCs w:val="22"/>
        </w:rPr>
        <w:tab/>
      </w:r>
      <w:r>
        <w:rPr>
          <w:rFonts w:asciiTheme="minorHAnsi" w:hAnsiTheme="minorHAnsi"/>
          <w:bCs/>
          <w:color w:val="203949"/>
          <w:kern w:val="36"/>
          <w:sz w:val="22"/>
          <w:szCs w:val="22"/>
        </w:rPr>
        <w:tab/>
        <w:t xml:space="preserve">  </w:t>
      </w:r>
      <w:r w:rsidRPr="00AA1C81">
        <w:rPr>
          <w:rFonts w:asciiTheme="minorHAnsi" w:hAnsiTheme="minorHAnsi"/>
          <w:bCs/>
          <w:color w:val="203949"/>
          <w:kern w:val="36"/>
          <w:sz w:val="22"/>
          <w:szCs w:val="22"/>
        </w:rPr>
        <w:t>90</w:t>
      </w:r>
      <w:r>
        <w:rPr>
          <w:rFonts w:asciiTheme="minorHAnsi" w:hAnsiTheme="minorHAnsi"/>
          <w:bCs/>
          <w:color w:val="203949"/>
          <w:kern w:val="36"/>
          <w:sz w:val="22"/>
          <w:szCs w:val="22"/>
        </w:rPr>
        <w:t>.</w:t>
      </w:r>
      <w:r w:rsidRPr="00AA1C81">
        <w:rPr>
          <w:rFonts w:asciiTheme="minorHAnsi" w:hAnsiTheme="minorHAnsi"/>
          <w:bCs/>
          <w:color w:val="203949"/>
          <w:kern w:val="36"/>
          <w:sz w:val="22"/>
          <w:szCs w:val="22"/>
        </w:rPr>
        <w:t>72</w:t>
      </w:r>
      <w:r>
        <w:rPr>
          <w:rFonts w:asciiTheme="minorHAnsi" w:hAnsiTheme="minorHAnsi"/>
          <w:bCs/>
          <w:color w:val="203949"/>
          <w:kern w:val="36"/>
          <w:sz w:val="22"/>
          <w:szCs w:val="22"/>
        </w:rPr>
        <w:t>.</w:t>
      </w:r>
      <w:r w:rsidRPr="00AA1C81">
        <w:rPr>
          <w:rFonts w:asciiTheme="minorHAnsi" w:hAnsiTheme="minorHAnsi"/>
          <w:bCs/>
          <w:color w:val="203949"/>
          <w:kern w:val="36"/>
          <w:sz w:val="22"/>
          <w:szCs w:val="22"/>
        </w:rPr>
        <w:t>18</w:t>
      </w:r>
      <w:r>
        <w:rPr>
          <w:rFonts w:asciiTheme="minorHAnsi" w:hAnsiTheme="minorHAnsi"/>
          <w:bCs/>
          <w:color w:val="203949"/>
          <w:kern w:val="36"/>
          <w:sz w:val="22"/>
          <w:szCs w:val="22"/>
        </w:rPr>
        <w:t>.</w:t>
      </w:r>
      <w:r w:rsidRPr="00AA1C81">
        <w:rPr>
          <w:rFonts w:asciiTheme="minorHAnsi" w:hAnsiTheme="minorHAnsi"/>
          <w:bCs/>
          <w:color w:val="203949"/>
          <w:kern w:val="36"/>
          <w:sz w:val="22"/>
          <w:szCs w:val="22"/>
        </w:rPr>
        <w:t>00-5 - Usługi ochrony przed naturalnym ryzykiem lub zagrożeniami</w:t>
      </w:r>
      <w:r w:rsidRPr="00AA1C81">
        <w:rPr>
          <w:rFonts w:asciiTheme="minorHAnsi" w:hAnsiTheme="minorHAnsi"/>
          <w:bCs/>
          <w:color w:val="203949"/>
          <w:kern w:val="36"/>
          <w:sz w:val="22"/>
          <w:szCs w:val="22"/>
        </w:rPr>
        <w:tab/>
      </w:r>
    </w:p>
    <w:p w14:paraId="6F862680" w14:textId="77777777" w:rsidR="00F00DFF" w:rsidRPr="00AA1C81" w:rsidRDefault="00F00DFF" w:rsidP="00F00DFF">
      <w:pPr>
        <w:ind w:left="142"/>
        <w:rPr>
          <w:rFonts w:asciiTheme="minorHAnsi" w:hAnsiTheme="minorHAnsi" w:cs="Arial"/>
          <w:color w:val="444444"/>
          <w:sz w:val="22"/>
          <w:szCs w:val="22"/>
          <w:shd w:val="clear" w:color="auto" w:fill="FFFFFF"/>
          <w:lang w:eastAsia="en-US"/>
        </w:rPr>
      </w:pPr>
    </w:p>
    <w:p w14:paraId="087FEFE5" w14:textId="77777777" w:rsidR="00F00DFF" w:rsidRDefault="00F00DFF" w:rsidP="00F00DFF">
      <w:pPr>
        <w:pStyle w:val="Akapitzlist1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Termin realizacji zamówienia</w:t>
      </w:r>
    </w:p>
    <w:p w14:paraId="2F22CD2E" w14:textId="77777777" w:rsidR="00F00DFF" w:rsidRDefault="00F00DFF" w:rsidP="00F00DFF">
      <w:pPr>
        <w:pStyle w:val="Akapitzlist1"/>
        <w:spacing w:after="0" w:line="276" w:lineRule="auto"/>
        <w:ind w:left="142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Od podpisania umowy </w:t>
      </w:r>
      <w:r>
        <w:rPr>
          <w:rFonts w:asciiTheme="minorHAnsi" w:hAnsiTheme="minorHAnsi"/>
          <w:b/>
          <w:sz w:val="22"/>
          <w:szCs w:val="22"/>
        </w:rPr>
        <w:t>do 31.12.20</w:t>
      </w:r>
      <w:r w:rsidR="006452DF">
        <w:rPr>
          <w:rFonts w:asciiTheme="minorHAnsi" w:hAnsiTheme="minorHAnsi"/>
          <w:b/>
          <w:sz w:val="22"/>
          <w:szCs w:val="22"/>
        </w:rPr>
        <w:t>20</w:t>
      </w:r>
      <w:r>
        <w:rPr>
          <w:rFonts w:asciiTheme="minorHAnsi" w:hAnsiTheme="minorHAnsi"/>
          <w:b/>
          <w:sz w:val="22"/>
          <w:szCs w:val="22"/>
        </w:rPr>
        <w:t>r.</w:t>
      </w:r>
    </w:p>
    <w:p w14:paraId="65261EE6" w14:textId="77777777" w:rsidR="00F00DFF" w:rsidRPr="00E66E2E" w:rsidRDefault="00F00DFF" w:rsidP="00F00DFF">
      <w:pPr>
        <w:jc w:val="both"/>
        <w:rPr>
          <w:rFonts w:asciiTheme="minorHAnsi" w:hAnsiTheme="minorHAnsi" w:cstheme="minorHAnsi"/>
        </w:rPr>
      </w:pPr>
    </w:p>
    <w:sectPr w:rsidR="00F00DFF" w:rsidRPr="00E66E2E" w:rsidSect="00F25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261CB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B0082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Num20"/>
    <w:lvl w:ilvl="0">
      <w:start w:val="1"/>
      <w:numFmt w:val="decimal"/>
      <w:lvlText w:val="%1)"/>
      <w:lvlJc w:val="left"/>
      <w:pPr>
        <w:tabs>
          <w:tab w:val="num" w:pos="0"/>
        </w:tabs>
        <w:ind w:left="914" w:hanging="360"/>
      </w:pPr>
      <w:rPr>
        <w:b w:val="0"/>
        <w:bCs w:val="0"/>
        <w:i w:val="0"/>
        <w:iCs w:val="0"/>
        <w:color w:val="00000A"/>
        <w:sz w:val="24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5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7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9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1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3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5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74" w:hanging="180"/>
      </w:pPr>
    </w:lvl>
  </w:abstractNum>
  <w:abstractNum w:abstractNumId="1" w15:restartNumberingAfterBreak="0">
    <w:nsid w:val="13DE5580"/>
    <w:multiLevelType w:val="hybridMultilevel"/>
    <w:tmpl w:val="E5684E5A"/>
    <w:lvl w:ilvl="0" w:tplc="CF64C5C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A3A4FB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A08B7"/>
    <w:multiLevelType w:val="hybridMultilevel"/>
    <w:tmpl w:val="2EEA4748"/>
    <w:lvl w:ilvl="0" w:tplc="ED78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BB4A3C"/>
    <w:multiLevelType w:val="hybridMultilevel"/>
    <w:tmpl w:val="BFF262C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F53CD"/>
    <w:multiLevelType w:val="hybridMultilevel"/>
    <w:tmpl w:val="5B983B96"/>
    <w:lvl w:ilvl="0" w:tplc="D9DA075A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96A"/>
    <w:rsid w:val="000C030D"/>
    <w:rsid w:val="00144932"/>
    <w:rsid w:val="001904FC"/>
    <w:rsid w:val="002A3D4C"/>
    <w:rsid w:val="00464FA1"/>
    <w:rsid w:val="00470877"/>
    <w:rsid w:val="004925B6"/>
    <w:rsid w:val="006452DF"/>
    <w:rsid w:val="00685942"/>
    <w:rsid w:val="007070B9"/>
    <w:rsid w:val="007D2726"/>
    <w:rsid w:val="0080415C"/>
    <w:rsid w:val="00814F33"/>
    <w:rsid w:val="00951916"/>
    <w:rsid w:val="009D1D53"/>
    <w:rsid w:val="009E6987"/>
    <w:rsid w:val="00A65535"/>
    <w:rsid w:val="00AA1C81"/>
    <w:rsid w:val="00AA6DFA"/>
    <w:rsid w:val="00AA7469"/>
    <w:rsid w:val="00AC009A"/>
    <w:rsid w:val="00AF6769"/>
    <w:rsid w:val="00B7696A"/>
    <w:rsid w:val="00BF2DDF"/>
    <w:rsid w:val="00C456F2"/>
    <w:rsid w:val="00C53D6A"/>
    <w:rsid w:val="00D275E4"/>
    <w:rsid w:val="00E66E2E"/>
    <w:rsid w:val="00EA4822"/>
    <w:rsid w:val="00F00DFF"/>
    <w:rsid w:val="00F2045F"/>
    <w:rsid w:val="00F2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2D8D"/>
  <w15:docId w15:val="{C5AAF93C-0270-45EA-AC56-4CE3897B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19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91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00DFF"/>
    <w:pPr>
      <w:spacing w:before="200" w:after="120" w:line="276" w:lineRule="auto"/>
      <w:ind w:left="283"/>
      <w:jc w:val="both"/>
    </w:pPr>
    <w:rPr>
      <w:rFonts w:ascii="Calibri" w:hAnsi="Calibri"/>
      <w:sz w:val="16"/>
      <w:szCs w:val="16"/>
      <w:lang w:eastAsia="en-US" w:bidi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00DFF"/>
    <w:rPr>
      <w:rFonts w:ascii="Calibri" w:eastAsia="Times New Roman" w:hAnsi="Calibri" w:cs="Times New Roman"/>
      <w:sz w:val="16"/>
      <w:szCs w:val="16"/>
      <w:lang w:bidi="en-US"/>
    </w:rPr>
  </w:style>
  <w:style w:type="character" w:customStyle="1" w:styleId="AkapitzlistZnak">
    <w:name w:val="Akapit z listą Znak"/>
    <w:link w:val="Akapitzlist"/>
    <w:locked/>
    <w:rsid w:val="00F00DFF"/>
    <w:rPr>
      <w:lang w:bidi="en-US"/>
    </w:rPr>
  </w:style>
  <w:style w:type="paragraph" w:styleId="Akapitzlist">
    <w:name w:val="List Paragraph"/>
    <w:basedOn w:val="Normalny"/>
    <w:link w:val="AkapitzlistZnak"/>
    <w:qFormat/>
    <w:rsid w:val="00F00DFF"/>
    <w:pPr>
      <w:spacing w:before="200"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 w:bidi="en-US"/>
    </w:rPr>
  </w:style>
  <w:style w:type="paragraph" w:customStyle="1" w:styleId="Default">
    <w:name w:val="Default"/>
    <w:rsid w:val="00F00D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rsid w:val="00F00DFF"/>
    <w:pPr>
      <w:widowControl w:val="0"/>
      <w:spacing w:before="60" w:after="60" w:line="100" w:lineRule="atLeast"/>
      <w:ind w:left="851" w:hanging="295"/>
      <w:jc w:val="both"/>
    </w:pPr>
    <w:rPr>
      <w:kern w:val="2"/>
      <w:lang w:eastAsia="ar-SA"/>
    </w:rPr>
  </w:style>
  <w:style w:type="paragraph" w:customStyle="1" w:styleId="Akapitzlist1">
    <w:name w:val="Akapit z listą1"/>
    <w:basedOn w:val="Normalny"/>
    <w:rsid w:val="00F00DFF"/>
    <w:pPr>
      <w:widowControl w:val="0"/>
      <w:suppressAutoHyphens/>
      <w:spacing w:after="160" w:line="100" w:lineRule="atLeast"/>
      <w:ind w:left="720"/>
    </w:pPr>
    <w:rPr>
      <w:kern w:val="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2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27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27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27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3F8E7-DF2C-4D4A-A116-03C26313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Laskowski (RZGW Białystok)</dc:creator>
  <cp:keywords/>
  <dc:description/>
  <cp:lastModifiedBy>Adam Laskowski (RZGW Białystok)</cp:lastModifiedBy>
  <cp:revision>12</cp:revision>
  <cp:lastPrinted>2019-07-09T12:06:00Z</cp:lastPrinted>
  <dcterms:created xsi:type="dcterms:W3CDTF">2020-03-12T11:25:00Z</dcterms:created>
  <dcterms:modified xsi:type="dcterms:W3CDTF">2020-04-30T12:37:00Z</dcterms:modified>
</cp:coreProperties>
</file>